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AE" w:rsidRDefault="00EE6A5D" w:rsidP="00EE6A5D">
      <w:pPr>
        <w:rPr>
          <w:b/>
          <w:sz w:val="24"/>
        </w:rPr>
      </w:pPr>
      <w:r w:rsidRPr="00EE6A5D">
        <w:rPr>
          <w:b/>
          <w:sz w:val="24"/>
        </w:rPr>
        <w:t xml:space="preserve">Informationen zur Bewirtschaftung in </w:t>
      </w:r>
      <w:r w:rsidR="00702D60" w:rsidRPr="00EE6A5D">
        <w:rPr>
          <w:b/>
          <w:sz w:val="24"/>
        </w:rPr>
        <w:t>NATURSCHUTZGEBIETE</w:t>
      </w:r>
    </w:p>
    <w:p w:rsidR="00EE6A5D" w:rsidRPr="00EE6A5D" w:rsidRDefault="00EE6A5D" w:rsidP="00EE6A5D">
      <w:pPr>
        <w:rPr>
          <w:b/>
          <w:sz w:val="24"/>
        </w:rPr>
      </w:pPr>
    </w:p>
    <w:p w:rsidR="00702D60" w:rsidRDefault="00702D60" w:rsidP="00F959AE">
      <w:pPr>
        <w:rPr>
          <w:sz w:val="20"/>
          <w:szCs w:val="20"/>
        </w:rPr>
      </w:pPr>
    </w:p>
    <w:p w:rsidR="00702D60" w:rsidRDefault="00702D60" w:rsidP="00F959AE">
      <w:pPr>
        <w:rPr>
          <w:sz w:val="20"/>
          <w:szCs w:val="20"/>
        </w:rPr>
      </w:pPr>
      <w:r>
        <w:rPr>
          <w:sz w:val="20"/>
          <w:szCs w:val="20"/>
        </w:rPr>
        <w:t xml:space="preserve">Auf das Volksbegehren „Rettet die Biene“ reagierte die Landesregierung mit dem Eckpunktepapier zum Insektenschutz. </w:t>
      </w:r>
    </w:p>
    <w:p w:rsidR="00702D60" w:rsidRDefault="00702D60" w:rsidP="00F959AE">
      <w:pPr>
        <w:rPr>
          <w:sz w:val="20"/>
          <w:szCs w:val="20"/>
        </w:rPr>
      </w:pPr>
    </w:p>
    <w:p w:rsidR="00AC53AB" w:rsidRDefault="00702D60" w:rsidP="00AC53AB">
      <w:pPr>
        <w:rPr>
          <w:sz w:val="20"/>
          <w:szCs w:val="20"/>
        </w:rPr>
      </w:pPr>
      <w:r>
        <w:rPr>
          <w:sz w:val="20"/>
          <w:szCs w:val="20"/>
        </w:rPr>
        <w:t xml:space="preserve">Seit </w:t>
      </w:r>
      <w:r w:rsidR="009200CB">
        <w:rPr>
          <w:sz w:val="20"/>
          <w:szCs w:val="20"/>
        </w:rPr>
        <w:t xml:space="preserve">dem </w:t>
      </w:r>
      <w:r w:rsidR="00AC53AB" w:rsidRPr="00AC53AB">
        <w:rPr>
          <w:sz w:val="20"/>
          <w:szCs w:val="20"/>
        </w:rPr>
        <w:t>1. Januar 2022</w:t>
      </w:r>
      <w:r w:rsidR="009200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gilt </w:t>
      </w:r>
      <w:r w:rsidRPr="00721306">
        <w:rPr>
          <w:b/>
          <w:sz w:val="20"/>
          <w:szCs w:val="20"/>
        </w:rPr>
        <w:t>ein allgemeines Verbot von Pestiziden</w:t>
      </w:r>
      <w:r>
        <w:rPr>
          <w:sz w:val="20"/>
          <w:szCs w:val="20"/>
        </w:rPr>
        <w:t xml:space="preserve"> in Naturschutzgebieten. </w:t>
      </w:r>
      <w:r w:rsidR="00AC53AB" w:rsidRPr="00AC53AB">
        <w:rPr>
          <w:sz w:val="20"/>
          <w:szCs w:val="20"/>
        </w:rPr>
        <w:t xml:space="preserve">DiesesVerbot gilt sowohl </w:t>
      </w:r>
      <w:r w:rsidR="00AC53AB" w:rsidRPr="00721306">
        <w:rPr>
          <w:b/>
          <w:sz w:val="20"/>
          <w:szCs w:val="20"/>
        </w:rPr>
        <w:t>für konventionell</w:t>
      </w:r>
      <w:r w:rsidR="00AC53AB" w:rsidRPr="00AC53AB">
        <w:rPr>
          <w:sz w:val="20"/>
          <w:szCs w:val="20"/>
        </w:rPr>
        <w:t xml:space="preserve"> als auch für </w:t>
      </w:r>
      <w:r w:rsidR="00AC53AB" w:rsidRPr="00721306">
        <w:rPr>
          <w:b/>
          <w:sz w:val="20"/>
          <w:szCs w:val="20"/>
        </w:rPr>
        <w:t>ökologisch</w:t>
      </w:r>
      <w:r w:rsidR="00AC53AB">
        <w:rPr>
          <w:sz w:val="20"/>
          <w:szCs w:val="20"/>
        </w:rPr>
        <w:t xml:space="preserve"> wirtschaftende Betriebe</w:t>
      </w:r>
      <w:r w:rsidR="00AC53AB" w:rsidRPr="00AC53AB">
        <w:rPr>
          <w:sz w:val="20"/>
          <w:szCs w:val="20"/>
        </w:rPr>
        <w:t>.</w:t>
      </w:r>
      <w:r w:rsidR="00AC53AB" w:rsidRPr="00AC53AB">
        <w:rPr>
          <w:sz w:val="20"/>
          <w:szCs w:val="20"/>
        </w:rPr>
        <w:cr/>
      </w:r>
    </w:p>
    <w:p w:rsidR="009200CB" w:rsidRDefault="009200CB" w:rsidP="00AC53AB"/>
    <w:p w:rsidR="00AC53AB" w:rsidRPr="009200CB" w:rsidRDefault="00AC53AB" w:rsidP="00AC53AB">
      <w:pPr>
        <w:rPr>
          <w:b/>
          <w:sz w:val="20"/>
          <w:szCs w:val="20"/>
        </w:rPr>
      </w:pPr>
      <w:r w:rsidRPr="009200CB">
        <w:rPr>
          <w:b/>
        </w:rPr>
        <w:t>Ausnahmen</w:t>
      </w:r>
    </w:p>
    <w:p w:rsidR="00702D60" w:rsidRDefault="00702D60" w:rsidP="00F959AE">
      <w:pPr>
        <w:rPr>
          <w:sz w:val="20"/>
          <w:szCs w:val="20"/>
        </w:rPr>
      </w:pPr>
    </w:p>
    <w:p w:rsidR="00702D60" w:rsidRPr="00AC53AB" w:rsidRDefault="00AC53AB" w:rsidP="00AC53AB">
      <w:pPr>
        <w:rPr>
          <w:sz w:val="20"/>
          <w:szCs w:val="20"/>
        </w:rPr>
      </w:pPr>
      <w:r>
        <w:rPr>
          <w:sz w:val="20"/>
          <w:szCs w:val="20"/>
        </w:rPr>
        <w:t xml:space="preserve">Ausnahmen kommen nur in Betracht, wenn </w:t>
      </w:r>
      <w:r w:rsidRPr="00AC53AB">
        <w:rPr>
          <w:sz w:val="20"/>
          <w:szCs w:val="20"/>
        </w:rPr>
        <w:t>die Anwendung bestimmter Pflanzenschutzmittel fü</w:t>
      </w:r>
      <w:r>
        <w:rPr>
          <w:sz w:val="20"/>
          <w:szCs w:val="20"/>
        </w:rPr>
        <w:t xml:space="preserve">r den Erhalt des Schutzgebietes </w:t>
      </w:r>
      <w:r w:rsidRPr="00AC53AB">
        <w:rPr>
          <w:b/>
          <w:sz w:val="20"/>
          <w:szCs w:val="20"/>
        </w:rPr>
        <w:t>unerlässlich</w:t>
      </w:r>
      <w:r w:rsidRPr="00AC53AB">
        <w:rPr>
          <w:sz w:val="20"/>
          <w:szCs w:val="20"/>
        </w:rPr>
        <w:t xml:space="preserve"> ist oder wenn ein </w:t>
      </w:r>
      <w:r w:rsidRPr="00AC53AB">
        <w:rPr>
          <w:b/>
          <w:sz w:val="20"/>
          <w:szCs w:val="20"/>
        </w:rPr>
        <w:t>Härtefall</w:t>
      </w:r>
      <w:r w:rsidRPr="00AC53AB">
        <w:rPr>
          <w:sz w:val="20"/>
          <w:szCs w:val="20"/>
        </w:rPr>
        <w:t xml:space="preserve"> vorliegt.</w:t>
      </w:r>
    </w:p>
    <w:p w:rsidR="00702D60" w:rsidRDefault="00702D60" w:rsidP="00F959AE">
      <w:pPr>
        <w:rPr>
          <w:sz w:val="20"/>
          <w:szCs w:val="20"/>
        </w:rPr>
      </w:pPr>
    </w:p>
    <w:p w:rsidR="00AC53AB" w:rsidRPr="009200CB" w:rsidRDefault="00AC53AB" w:rsidP="00AC53AB">
      <w:pPr>
        <w:pStyle w:val="Listenabsatz"/>
        <w:numPr>
          <w:ilvl w:val="0"/>
          <w:numId w:val="1"/>
        </w:numPr>
        <w:rPr>
          <w:i/>
          <w:sz w:val="20"/>
          <w:szCs w:val="20"/>
        </w:rPr>
      </w:pPr>
      <w:r w:rsidRPr="009200CB">
        <w:rPr>
          <w:i/>
          <w:sz w:val="20"/>
          <w:szCs w:val="20"/>
        </w:rPr>
        <w:t>Härtefall</w:t>
      </w:r>
    </w:p>
    <w:p w:rsidR="00702D60" w:rsidRDefault="00702D60" w:rsidP="00F959AE">
      <w:pPr>
        <w:rPr>
          <w:sz w:val="20"/>
          <w:szCs w:val="20"/>
        </w:rPr>
      </w:pPr>
    </w:p>
    <w:p w:rsidR="00A55858" w:rsidRDefault="00AC53AB">
      <w:pPr>
        <w:rPr>
          <w:sz w:val="20"/>
          <w:szCs w:val="20"/>
        </w:rPr>
      </w:pPr>
      <w:r w:rsidRPr="00AC53AB">
        <w:rPr>
          <w:sz w:val="20"/>
          <w:szCs w:val="20"/>
        </w:rPr>
        <w:t>Ein Antrag auf eine Ausnahme für Härtefälle kann mit einem Antragsformular</w:t>
      </w:r>
      <w:r w:rsidR="009200CB">
        <w:rPr>
          <w:sz w:val="20"/>
          <w:szCs w:val="20"/>
        </w:rPr>
        <w:t xml:space="preserve"> </w:t>
      </w:r>
      <w:r w:rsidRPr="00AC53AB">
        <w:rPr>
          <w:sz w:val="20"/>
          <w:szCs w:val="20"/>
        </w:rPr>
        <w:t>über das Landratsamt (untere Naturschutzbehörde) beim Regierungspräsidium gestellt werden.</w:t>
      </w:r>
      <w:r w:rsidRPr="00AC53AB">
        <w:rPr>
          <w:sz w:val="20"/>
          <w:szCs w:val="20"/>
        </w:rPr>
        <w:cr/>
      </w:r>
    </w:p>
    <w:p w:rsidR="009200CB" w:rsidRDefault="009200CB">
      <w:pPr>
        <w:rPr>
          <w:sz w:val="20"/>
          <w:szCs w:val="20"/>
        </w:rPr>
      </w:pPr>
    </w:p>
    <w:p w:rsidR="009200CB" w:rsidRPr="009200CB" w:rsidRDefault="009200CB" w:rsidP="009200CB">
      <w:pPr>
        <w:pStyle w:val="Listenabsatz"/>
        <w:numPr>
          <w:ilvl w:val="0"/>
          <w:numId w:val="1"/>
        </w:numPr>
        <w:rPr>
          <w:i/>
          <w:sz w:val="20"/>
          <w:szCs w:val="20"/>
        </w:rPr>
      </w:pPr>
      <w:r w:rsidRPr="009200CB">
        <w:rPr>
          <w:i/>
          <w:sz w:val="20"/>
          <w:szCs w:val="20"/>
        </w:rPr>
        <w:t>Unerlässlichkeit</w:t>
      </w:r>
    </w:p>
    <w:p w:rsidR="009200CB" w:rsidRDefault="009200CB" w:rsidP="009200CB">
      <w:pPr>
        <w:rPr>
          <w:sz w:val="20"/>
          <w:szCs w:val="20"/>
        </w:rPr>
      </w:pPr>
    </w:p>
    <w:p w:rsidR="009200CB" w:rsidRDefault="009200CB" w:rsidP="009200CB">
      <w:pPr>
        <w:rPr>
          <w:sz w:val="20"/>
          <w:szCs w:val="20"/>
        </w:rPr>
      </w:pPr>
      <w:r w:rsidRPr="009200CB">
        <w:rPr>
          <w:sz w:val="20"/>
          <w:szCs w:val="20"/>
        </w:rPr>
        <w:t>Für NSGen, die aufgrund der dort geschützten Tier- und Pflanzenarten oder</w:t>
      </w:r>
      <w:r>
        <w:rPr>
          <w:sz w:val="20"/>
          <w:szCs w:val="20"/>
        </w:rPr>
        <w:t xml:space="preserve"> </w:t>
      </w:r>
      <w:r w:rsidRPr="009200CB">
        <w:rPr>
          <w:sz w:val="20"/>
          <w:szCs w:val="20"/>
        </w:rPr>
        <w:t xml:space="preserve">aufgrund des spezifischen Charakters des Gebietes auf bestimmte Bewirtschaftungsformen angewiesen sind, </w:t>
      </w:r>
      <w:r>
        <w:rPr>
          <w:sz w:val="20"/>
          <w:szCs w:val="20"/>
        </w:rPr>
        <w:t xml:space="preserve">gibt </w:t>
      </w:r>
      <w:r w:rsidRPr="009200CB">
        <w:rPr>
          <w:sz w:val="20"/>
          <w:szCs w:val="20"/>
        </w:rPr>
        <w:t>es Ausnahmen für bestimmte Mittel</w:t>
      </w:r>
      <w:r>
        <w:rPr>
          <w:sz w:val="20"/>
          <w:szCs w:val="20"/>
        </w:rPr>
        <w:t xml:space="preserve"> </w:t>
      </w:r>
      <w:r w:rsidRPr="009200CB">
        <w:rPr>
          <w:sz w:val="20"/>
          <w:szCs w:val="20"/>
        </w:rPr>
        <w:t>um die spezifischen Kulturen und damit</w:t>
      </w:r>
      <w:r>
        <w:rPr>
          <w:sz w:val="20"/>
          <w:szCs w:val="20"/>
        </w:rPr>
        <w:t xml:space="preserve"> </w:t>
      </w:r>
      <w:r w:rsidRPr="009200CB">
        <w:rPr>
          <w:sz w:val="20"/>
          <w:szCs w:val="20"/>
        </w:rPr>
        <w:t>die besonderen Lebensräume auf Dauer zu erhalten.</w:t>
      </w:r>
      <w:r>
        <w:rPr>
          <w:sz w:val="20"/>
          <w:szCs w:val="20"/>
        </w:rPr>
        <w:t xml:space="preserve"> </w:t>
      </w:r>
    </w:p>
    <w:p w:rsidR="009200CB" w:rsidRDefault="009200CB" w:rsidP="009200CB">
      <w:pPr>
        <w:rPr>
          <w:sz w:val="20"/>
          <w:szCs w:val="20"/>
        </w:rPr>
      </w:pPr>
    </w:p>
    <w:p w:rsidR="009200CB" w:rsidRDefault="009200CB" w:rsidP="009200CB">
      <w:pPr>
        <w:rPr>
          <w:sz w:val="20"/>
          <w:szCs w:val="20"/>
        </w:rPr>
      </w:pPr>
      <w:r>
        <w:rPr>
          <w:sz w:val="20"/>
          <w:szCs w:val="20"/>
        </w:rPr>
        <w:t xml:space="preserve">Speziell für den Weinbau gibt es eine Pflanzenschutzmittelliste mit zugelassenen Mitteln. Dennoch muss vor Anwendung von Pflanzenschutzmittel im NSG ein Antrag beim Regierungspräsidium KA gestellt werden. Eine Genehmigung soll für 5 Jahre gelten. </w:t>
      </w:r>
    </w:p>
    <w:p w:rsidR="009200CB" w:rsidRDefault="009200CB" w:rsidP="009200CB">
      <w:pPr>
        <w:rPr>
          <w:sz w:val="20"/>
          <w:szCs w:val="20"/>
        </w:rPr>
      </w:pPr>
    </w:p>
    <w:p w:rsidR="009200CB" w:rsidRPr="009200CB" w:rsidRDefault="009200CB" w:rsidP="009200CB">
      <w:pPr>
        <w:rPr>
          <w:sz w:val="20"/>
          <w:szCs w:val="20"/>
        </w:rPr>
      </w:pPr>
      <w:bookmarkStart w:id="0" w:name="_GoBack"/>
      <w:bookmarkEnd w:id="0"/>
    </w:p>
    <w:sectPr w:rsidR="009200CB" w:rsidRPr="009200CB" w:rsidSect="008036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770AF"/>
    <w:multiLevelType w:val="hybridMultilevel"/>
    <w:tmpl w:val="51A20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A9"/>
    <w:rsid w:val="00702D60"/>
    <w:rsid w:val="00721306"/>
    <w:rsid w:val="0080366E"/>
    <w:rsid w:val="009200CB"/>
    <w:rsid w:val="00A55858"/>
    <w:rsid w:val="00AC53AB"/>
    <w:rsid w:val="00B454A9"/>
    <w:rsid w:val="00EE6A5D"/>
    <w:rsid w:val="00F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E7353"/>
  <w15:chartTrackingRefBased/>
  <w15:docId w15:val="{C1A29F43-43CF-4FDA-A684-CAC60411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9A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9A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C53AB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9200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00C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0CB"/>
    <w:rPr>
      <w:rFonts w:ascii="Tahoma" w:hAnsi="Tahoma"/>
      <w:i/>
      <w:iCs/>
      <w:color w:val="5B9BD5" w:themeColor="accent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 Katharina</dc:creator>
  <cp:keywords/>
  <dc:description/>
  <cp:lastModifiedBy>Kohl Katharina</cp:lastModifiedBy>
  <cp:revision>4</cp:revision>
  <cp:lastPrinted>2022-02-10T12:08:00Z</cp:lastPrinted>
  <dcterms:created xsi:type="dcterms:W3CDTF">2022-05-17T12:08:00Z</dcterms:created>
  <dcterms:modified xsi:type="dcterms:W3CDTF">2024-06-19T11:32:00Z</dcterms:modified>
</cp:coreProperties>
</file>